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мая 2022 г. № 442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20 мая 2022 г. № 442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Порядка расходования средств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реализацию мероприятий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формированию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организационно-методического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обеспечения и созданию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доступной пространственно-развивающей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образовательной среды для организации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специальных условий обучения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детей с ограниченными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возможностями здоровья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правительства Воронежской области от 27.04.2021 № 231 «Об утверждении правил предоставления и методики распределения иных межбюджетных трансфертов из областного бюджета бюджетам муниципальных районов (городских округов) Воронежской области на формирование организационно-методического обеспечения и создание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средств на реализацию мероприятий по формированию организационно-методического обеспечения и созданию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и целевому использованию средств на реализацию мероприятий по формированию организационно-методического обеспечения и созданию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 управление образования и молодежной политики администрации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09.08.2021 № 769 «Об утверждении Порядка расходования средств на реализацию мероприятий по формированию организационно-методического обеспечения и созданию доступной пространственно-развивающей образовательной среды для организации специальных условий обучения детей с ограниченными возможностями здоровья».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